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Layout w:type="fixed"/>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7056"/>
        <w:gridCol w:w="2303"/>
      </w:tblGrid>
      <w:tr>
        <w:tc>
          <w:tcPr>
            <w:tcW w:type="dxa" w:w="4680"/>
          </w:tcPr>
          <w:p>
            <w:pPr>
              <w:spacing w:after="0"/>
            </w:pPr>
            <w:r>
              <w:rPr>
                <w:rFonts w:ascii="Inter" w:hAnsi="Inter"/>
                <w:b/>
                <w:color w:val="FFFFFF"/>
                <w:sz w:val="18"/>
                <w:shd w:val="clear" w:color="auto" w:fill="C8392F"/>
              </w:rPr>
              <w:t xml:space="preserve"> CPP </w:t>
            </w:r>
            <w:r>
              <w:rPr>
                <w:rFonts w:ascii="Inter" w:hAnsi="Inter"/>
                <w:b/>
                <w:color w:val="0D1B2A"/>
                <w:sz w:val="21"/>
              </w:rPr>
              <w:t xml:space="preserve">  Critical Path Partners</w:t>
            </w:r>
            <w:r>
              <w:rPr>
                <w:rFonts w:ascii="Inter" w:hAnsi="Inter"/>
                <w:color w:val="33455A"/>
                <w:sz w:val="18"/>
              </w:rPr>
              <w:t xml:space="preserve">   Forensic schedule analysis</w:t>
            </w:r>
          </w:p>
        </w:tc>
        <w:tc>
          <w:tcPr>
            <w:tcW w:type="dxa" w:w="4680"/>
          </w:tcPr>
          <w:p>
            <w:pPr>
              <w:spacing w:after="0"/>
              <w:jc w:val="right"/>
            </w:pPr>
            <w:r>
              <w:rPr>
                <w:rFonts w:ascii="Consolas" w:hAnsi="Consolas"/>
                <w:color w:val="33455A"/>
                <w:sz w:val="16"/>
              </w:rPr>
              <w:t>CPP-SOW / CPP-2025-DEMO</w:t>
            </w:r>
          </w:p>
        </w:tc>
      </w:tr>
    </w:tbl>
    <w:p>
      <w:pPr>
        <w:spacing w:before="60" w:after="200"/>
        <w:pBdr>
          <w:bottom w:val="single" w:sz="8" w:space="4" w:color="0F2540"/>
        </w:pBdr>
      </w:pPr>
    </w:p>
    <w:tbl>
      <w:tblPr>
        <w:tblW w:type="auto" w:w="0"/>
        <w:jc w:val="center"/>
        <w:tblLook w:firstColumn="1" w:firstRow="1" w:lastColumn="0" w:lastRow="0" w:noHBand="0" w:noVBand="1" w:val="04A0"/>
        <w:tblLayout w:type="fixed"/>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9360"/>
      </w:tblGrid>
      <w:tr>
        <w:tc>
          <w:tcPr>
            <w:tcW w:type="dxa" w:w="9360"/>
          </w:tcPr>
          <w:p>
            <w:pPr>
              <w:spacing w:after="40"/>
            </w:pPr>
            <w:r>
              <w:rPr>
                <w:rFonts w:ascii="Inter" w:hAnsi="Inter"/>
                <w:b/>
                <w:color w:val="0D1B2A"/>
                <w:sz w:val="44"/>
              </w:rPr>
              <w:t>Ontario Community College - B2 (Demo Data)</w:t>
            </w:r>
          </w:p>
          <w:p>
            <w:pPr>
              <w:spacing w:after="80"/>
            </w:pPr>
            <w:r>
              <w:rPr>
                <w:rFonts w:ascii="Inter" w:hAnsi="Inter"/>
                <w:color w:val="33455A"/>
                <w:sz w:val="23"/>
              </w:rPr>
              <w:t>Statement of work</w:t>
            </w:r>
          </w:p>
          <w:p>
            <w:pPr>
              <w:spacing w:before="80" w:after="0"/>
            </w:pPr>
            <w:r>
              <w:rPr>
                <w:rFonts w:ascii="Inter" w:hAnsi="Inter"/>
                <w:color w:val="33455A"/>
                <w:sz w:val="17"/>
              </w:rPr>
              <w:t xml:space="preserve">Client  </w:t>
            </w:r>
            <w:r>
              <w:rPr>
                <w:rFonts w:ascii="Inter" w:hAnsi="Inter"/>
                <w:b/>
                <w:color w:val="0D1B2A"/>
                <w:sz w:val="19"/>
              </w:rPr>
              <w:t>Northgate Constructors (Demo)</w:t>
            </w:r>
            <w:r>
              <w:rPr>
                <w:rFonts w:ascii="Inter" w:hAnsi="Inter"/>
              </w:rPr>
              <w:t xml:space="preserve">    </w:t>
            </w:r>
            <w:r>
              <w:rPr>
                <w:rFonts w:ascii="Inter" w:hAnsi="Inter"/>
                <w:color w:val="33455A"/>
                <w:sz w:val="17"/>
              </w:rPr>
              <w:t xml:space="preserve">Prepared by  </w:t>
            </w:r>
            <w:r>
              <w:rPr>
                <w:rFonts w:ascii="Inter" w:hAnsi="Inter"/>
                <w:b/>
                <w:color w:val="0D1B2A"/>
                <w:sz w:val="19"/>
              </w:rPr>
              <w:t>Critical Path Partners</w:t>
            </w:r>
            <w:r>
              <w:rPr>
                <w:rFonts w:ascii="Inter" w:hAnsi="Inter"/>
              </w:rPr>
              <w:t xml:space="preserve">    </w:t>
            </w:r>
            <w:r>
              <w:rPr>
                <w:rFonts w:ascii="Inter" w:hAnsi="Inter"/>
                <w:color w:val="33455A"/>
                <w:sz w:val="17"/>
              </w:rPr>
              <w:t xml:space="preserve">Scope items  </w:t>
            </w:r>
            <w:r>
              <w:rPr>
                <w:rFonts w:ascii="Inter" w:hAnsi="Inter"/>
                <w:b/>
                <w:color w:val="0D1B2A"/>
                <w:sz w:val="19"/>
              </w:rPr>
              <w:t>5</w:t>
            </w:r>
            <w:r>
              <w:rPr>
                <w:rFonts w:ascii="Inter" w:hAnsi="Inter"/>
              </w:rPr>
              <w:t xml:space="preserve">    </w:t>
            </w:r>
            <w:r>
              <w:rPr>
                <w:rFonts w:ascii="Inter" w:hAnsi="Inter"/>
                <w:color w:val="33455A"/>
                <w:sz w:val="17"/>
              </w:rPr>
              <w:t xml:space="preserve">Date  </w:t>
            </w:r>
            <w:r>
              <w:rPr>
                <w:rFonts w:ascii="Inter" w:hAnsi="Inter"/>
                <w:b/>
                <w:color w:val="0D1B2A"/>
                <w:sz w:val="19"/>
              </w:rPr>
              <w:t>September 01, 2026</w:t>
            </w:r>
          </w:p>
        </w:tc>
      </w:tr>
    </w:tbl>
    <w:p>
      <w:pPr>
        <w:spacing w:after="80"/>
      </w:pPr>
    </w:p>
    <w:p>
      <w:r>
        <w:rPr>
          <w:rFonts w:ascii="Inter" w:hAnsi="Inter"/>
          <w:b w:val="0"/>
          <w:color w:val="0D1B2A"/>
          <w:sz w:val="21"/>
        </w:rPr>
        <w:t>Draft for review by an Ontario lawyer before first client use.</w:t>
      </w:r>
    </w:p>
    <w:p/>
    <w:p>
      <w:pPr>
        <w:keepNext/>
        <w:spacing w:before="320" w:after="120"/>
        <w:pBdr>
          <w:bottom w:val="single" w:sz="6" w:space="4" w:color="C9D3DD"/>
        </w:pBdr>
      </w:pPr>
      <w:r>
        <w:rPr>
          <w:rFonts w:ascii="Inter" w:hAnsi="Inter"/>
          <w:b/>
          <w:color w:val="C8392F"/>
          <w:sz w:val="18"/>
        </w:rPr>
        <w:t>S-01</w:t>
      </w:r>
      <w:r>
        <w:t xml:space="preserve">   </w:t>
      </w:r>
      <w:r>
        <w:rPr>
          <w:rFonts w:ascii="Inter" w:hAnsi="Inter"/>
          <w:b/>
          <w:color w:val="0D1B2A"/>
          <w:sz w:val="27"/>
        </w:rPr>
        <w:t>Scope of work</w:t>
      </w:r>
    </w:p>
    <w:p>
      <w:r>
        <w:rPr>
          <w:rFonts w:ascii="Inter" w:hAnsi="Inter"/>
          <w:b w:val="0"/>
          <w:color w:val="0D1B2A"/>
          <w:sz w:val="21"/>
        </w:rPr>
        <w:t>1. Review of the baseline schedule and each schedule update the client provides (XER format).</w:t>
      </w:r>
    </w:p>
    <w:p>
      <w:r>
        <w:rPr>
          <w:rFonts w:ascii="Inter" w:hAnsi="Inter"/>
          <w:b w:val="0"/>
          <w:color w:val="0D1B2A"/>
          <w:sz w:val="21"/>
        </w:rPr>
        <w:t>2. Calendar decode and schedule integrity checks at intake.</w:t>
      </w:r>
    </w:p>
    <w:p>
      <w:r>
        <w:rPr>
          <w:rFonts w:ascii="Inter" w:hAnsi="Inter"/>
          <w:b w:val="0"/>
          <w:color w:val="0D1B2A"/>
          <w:sz w:val="21"/>
        </w:rPr>
        <w:t>3. Critical path review and delay quantification, reported in working days (wd).</w:t>
      </w:r>
    </w:p>
    <w:p>
      <w:r>
        <w:rPr>
          <w:rFonts w:ascii="Inter" w:hAnsi="Inter"/>
          <w:b w:val="0"/>
          <w:color w:val="0D1B2A"/>
          <w:sz w:val="21"/>
        </w:rPr>
        <w:t>4. A written analysis stating the working days the client claims pursuant to the contract clauses the client identifies.</w:t>
      </w:r>
    </w:p>
    <w:p>
      <w:r>
        <w:rPr>
          <w:rFonts w:ascii="Inter" w:hAnsi="Inter"/>
          <w:b w:val="0"/>
          <w:color w:val="0D1B2A"/>
          <w:sz w:val="21"/>
        </w:rPr>
        <w:t>5. Preparation of exhibits and figures supporting the analysis.</w:t>
      </w:r>
    </w:p>
    <w:p>
      <w:pPr>
        <w:keepNext/>
        <w:spacing w:before="320" w:after="120"/>
        <w:pBdr>
          <w:bottom w:val="single" w:sz="6" w:space="4" w:color="C9D3DD"/>
        </w:pBdr>
      </w:pPr>
      <w:r>
        <w:rPr>
          <w:rFonts w:ascii="Inter" w:hAnsi="Inter"/>
          <w:b/>
          <w:color w:val="C8392F"/>
          <w:sz w:val="18"/>
        </w:rPr>
        <w:t>S-02</w:t>
      </w:r>
      <w:r>
        <w:t xml:space="preserve">   </w:t>
      </w:r>
      <w:r>
        <w:rPr>
          <w:rFonts w:ascii="Inter" w:hAnsi="Inter"/>
          <w:b/>
          <w:color w:val="0D1B2A"/>
          <w:sz w:val="27"/>
        </w:rPr>
        <w:t>Inputs required from the client</w:t>
      </w:r>
    </w:p>
    <w:p>
      <w:r>
        <w:rPr>
          <w:rFonts w:ascii="Inter" w:hAnsi="Inter"/>
          <w:b w:val="0"/>
          <w:color w:val="0D1B2A"/>
          <w:sz w:val="21"/>
        </w:rPr>
        <w:t>1. XER export of the baseline schedule.</w:t>
      </w:r>
    </w:p>
    <w:p>
      <w:r>
        <w:rPr>
          <w:rFonts w:ascii="Inter" w:hAnsi="Inter"/>
          <w:b w:val="0"/>
          <w:color w:val="0D1B2A"/>
          <w:sz w:val="21"/>
        </w:rPr>
        <w:t>2. XER exports of each schedule update across the analysis period.</w:t>
      </w:r>
    </w:p>
    <w:p>
      <w:r>
        <w:rPr>
          <w:rFonts w:ascii="Inter" w:hAnsi="Inter"/>
          <w:b w:val="0"/>
          <w:color w:val="0D1B2A"/>
          <w:sz w:val="21"/>
        </w:rPr>
        <w:t>3. Contract excerpts governing time, notices, and extensions of time.</w:t>
      </w:r>
    </w:p>
    <w:p>
      <w:r>
        <w:rPr>
          <w:rFonts w:ascii="Inter" w:hAnsi="Inter"/>
          <w:b w:val="0"/>
          <w:color w:val="0D1B2A"/>
          <w:sz w:val="21"/>
        </w:rPr>
        <w:t>4. Copies of delay notices and related correspondence.</w:t>
      </w:r>
    </w:p>
    <w:p>
      <w:pPr>
        <w:keepNext/>
        <w:spacing w:before="320" w:after="120"/>
        <w:pBdr>
          <w:bottom w:val="single" w:sz="6" w:space="4" w:color="C9D3DD"/>
        </w:pBdr>
      </w:pPr>
      <w:r>
        <w:rPr>
          <w:rFonts w:ascii="Inter" w:hAnsi="Inter"/>
          <w:b/>
          <w:color w:val="C8392F"/>
          <w:sz w:val="18"/>
        </w:rPr>
        <w:t>S-03</w:t>
      </w:r>
      <w:r>
        <w:t xml:space="preserve">   </w:t>
      </w:r>
      <w:r>
        <w:rPr>
          <w:rFonts w:ascii="Inter" w:hAnsi="Inter"/>
          <w:b/>
          <w:color w:val="0D1B2A"/>
          <w:sz w:val="27"/>
        </w:rPr>
        <w:t>Exclusions</w:t>
      </w:r>
    </w:p>
    <w:p>
      <w:r>
        <w:rPr>
          <w:rFonts w:ascii="Inter" w:hAnsi="Inter"/>
          <w:b w:val="0"/>
          <w:color w:val="0D1B2A"/>
          <w:sz w:val="21"/>
        </w:rPr>
        <w:t>1. Legal advice or legal conclusions of any kind.</w:t>
      </w:r>
    </w:p>
    <w:p>
      <w:r>
        <w:rPr>
          <w:rFonts w:ascii="Inter" w:hAnsi="Inter"/>
          <w:b w:val="0"/>
          <w:color w:val="0D1B2A"/>
          <w:sz w:val="21"/>
        </w:rPr>
        <w:t>2. Quantum (cost) analysis, unless expressly added in writing by both parties.</w:t>
      </w:r>
    </w:p>
    <w:p>
      <w:r>
        <w:rPr>
          <w:rFonts w:ascii="Inter" w:hAnsi="Inter"/>
          <w:b w:val="0"/>
          <w:color w:val="0D1B2A"/>
          <w:sz w:val="21"/>
        </w:rPr>
        <w:t>3. Site inspection or physical verification of the works.</w:t>
      </w:r>
    </w:p>
    <w:p>
      <w:r>
        <w:rPr>
          <w:rFonts w:ascii="Inter" w:hAnsi="Inter"/>
          <w:b w:val="0"/>
          <w:color w:val="0D1B2A"/>
          <w:sz w:val="21"/>
        </w:rPr>
        <w:t>4. Testimony or attendance at hearings, unless separately agreed in writing.</w:t>
      </w:r>
    </w:p>
    <w:p>
      <w:pPr>
        <w:keepNext/>
        <w:spacing w:before="320" w:after="120"/>
        <w:pBdr>
          <w:bottom w:val="single" w:sz="6" w:space="4" w:color="C9D3DD"/>
        </w:pBdr>
      </w:pPr>
      <w:r>
        <w:rPr>
          <w:rFonts w:ascii="Inter" w:hAnsi="Inter"/>
          <w:b/>
          <w:color w:val="C8392F"/>
          <w:sz w:val="18"/>
        </w:rPr>
        <w:t>S-04</w:t>
      </w:r>
      <w:r>
        <w:t xml:space="preserve">   </w:t>
      </w:r>
      <w:r>
        <w:rPr>
          <w:rFonts w:ascii="Inter" w:hAnsi="Inter"/>
          <w:b/>
          <w:color w:val="0D1B2A"/>
          <w:sz w:val="27"/>
        </w:rPr>
        <w:t>Schedule of deliverables</w:t>
      </w:r>
    </w:p>
    <w:tbl>
      <w:tblPr>
        <w:tblW w:type="auto" w:w="0"/>
        <w:jc w:val="center"/>
        <w:tblLook w:firstColumn="1" w:firstRow="1" w:lastColumn="0" w:lastRow="0" w:noHBand="0" w:noVBand="1" w:val="04A0"/>
        <w:tblLayout w:type="fixed"/>
      </w:tblPr>
      <w:tblGrid>
        <w:gridCol w:w="3120"/>
        <w:gridCol w:w="3120"/>
        <w:gridCol w:w="3120"/>
      </w:tblGrid>
      <w:tr>
        <w:tc>
          <w:tcPr>
            <w:tcW w:type="dxa" w:w="3120"/>
            <w:tcBorders>
              <w:bottom w:val="single" w:sz="8" w:space="0" w:color="0F2540"/>
            </w:tcBorders>
            <w:vAlign w:val="center"/>
          </w:tcPr>
          <w:p>
            <w:pPr>
              <w:jc w:val="left"/>
            </w:pPr>
            <w:r/>
            <w:r>
              <w:rPr>
                <w:rFonts w:ascii="Inter" w:hAnsi="Inter"/>
                <w:b/>
                <w:color w:val="33455A"/>
                <w:sz w:val="17"/>
              </w:rPr>
              <w:t>Deliverable</w:t>
            </w:r>
          </w:p>
        </w:tc>
        <w:tc>
          <w:tcPr>
            <w:tcW w:type="dxa" w:w="3120"/>
            <w:tcBorders>
              <w:bottom w:val="single" w:sz="8" w:space="0" w:color="0F2540"/>
            </w:tcBorders>
            <w:vAlign w:val="center"/>
          </w:tcPr>
          <w:p>
            <w:pPr>
              <w:jc w:val="left"/>
            </w:pPr>
            <w:r/>
            <w:r>
              <w:rPr>
                <w:rFonts w:ascii="Inter" w:hAnsi="Inter"/>
                <w:b/>
                <w:color w:val="33455A"/>
                <w:sz w:val="17"/>
              </w:rPr>
              <w:t>Format</w:t>
            </w:r>
          </w:p>
        </w:tc>
        <w:tc>
          <w:tcPr>
            <w:tcW w:type="dxa" w:w="3120"/>
            <w:tcBorders>
              <w:bottom w:val="single" w:sz="8" w:space="0" w:color="0F2540"/>
            </w:tcBorders>
            <w:vAlign w:val="center"/>
          </w:tcPr>
          <w:p>
            <w:pPr>
              <w:jc w:val="left"/>
            </w:pPr>
            <w:r/>
            <w:r>
              <w:rPr>
                <w:rFonts w:ascii="Inter" w:hAnsi="Inter"/>
                <w:b/>
                <w:color w:val="33455A"/>
                <w:sz w:val="17"/>
              </w:rPr>
              <w:t>Due</w:t>
            </w:r>
          </w:p>
        </w:tc>
      </w:tr>
      <w:tr>
        <w:tc>
          <w:tcPr>
            <w:tcW w:type="dxa" w:w="3120"/>
            <w:tcBorders>
              <w:bottom w:val="single" w:sz="4" w:space="0" w:color="C9D3DD"/>
            </w:tcBorders>
            <w:vAlign w:val="center"/>
          </w:tcPr>
          <w:p>
            <w:pPr>
              <w:jc w:val="left"/>
            </w:pPr>
            <w:r/>
            <w:r>
              <w:rPr>
                <w:rFonts w:ascii="Consolas" w:hAnsi="Consolas" w:cs="Consolas"/>
                <w:b/>
                <w:color w:val="0D1B2A"/>
                <w:sz w:val="19"/>
              </w:rPr>
              <w:t>[TO BE COMPLETED]</w:t>
            </w:r>
          </w:p>
        </w:tc>
        <w:tc>
          <w:tcPr>
            <w:tcW w:type="dxa" w:w="3120"/>
            <w:tcBorders>
              <w:bottom w:val="single" w:sz="4" w:space="0" w:color="C9D3DD"/>
            </w:tcBorders>
            <w:vAlign w:val="center"/>
          </w:tcPr>
          <w:p>
            <w:pPr>
              <w:jc w:val="left"/>
            </w:pPr>
            <w:r/>
            <w:r>
              <w:rPr>
                <w:rFonts w:ascii="Inter" w:hAnsi="Inter"/>
                <w:b w:val="0"/>
                <w:color w:val="0D1B2A"/>
                <w:sz w:val="19"/>
              </w:rPr>
              <w:t>[TO BE COMPLETED]</w:t>
            </w:r>
          </w:p>
        </w:tc>
        <w:tc>
          <w:tcPr>
            <w:tcW w:type="dxa" w:w="3120"/>
            <w:tcBorders>
              <w:bottom w:val="single" w:sz="4" w:space="0" w:color="C9D3DD"/>
            </w:tcBorders>
            <w:vAlign w:val="center"/>
          </w:tcPr>
          <w:p>
            <w:pPr>
              <w:jc w:val="left"/>
            </w:pPr>
            <w:r/>
            <w:r>
              <w:rPr>
                <w:rFonts w:ascii="Inter" w:hAnsi="Inter"/>
                <w:b w:val="0"/>
                <w:color w:val="0D1B2A"/>
                <w:sz w:val="19"/>
              </w:rPr>
              <w:t>[TO BE COMPLETED]</w:t>
            </w:r>
          </w:p>
        </w:tc>
      </w:tr>
    </w:tbl>
    <w:p>
      <w:pPr>
        <w:spacing w:after="40"/>
      </w:pPr>
    </w:p>
    <w:p>
      <w:pPr>
        <w:keepNext/>
        <w:spacing w:before="320" w:after="120"/>
        <w:pBdr>
          <w:bottom w:val="single" w:sz="6" w:space="4" w:color="C9D3DD"/>
        </w:pBdr>
      </w:pPr>
      <w:r>
        <w:rPr>
          <w:rFonts w:ascii="Inter" w:hAnsi="Inter"/>
          <w:b/>
          <w:color w:val="C8392F"/>
          <w:sz w:val="18"/>
        </w:rPr>
        <w:t>S-05</w:t>
      </w:r>
      <w:r>
        <w:t xml:space="preserve">   </w:t>
      </w:r>
      <w:r>
        <w:rPr>
          <w:rFonts w:ascii="Inter" w:hAnsi="Inter"/>
          <w:b/>
          <w:color w:val="0D1B2A"/>
          <w:sz w:val="27"/>
        </w:rPr>
        <w:t>Change procedure</w:t>
      </w:r>
    </w:p>
    <w:p>
      <w:r>
        <w:rPr>
          <w:rFonts w:ascii="Inter" w:hAnsi="Inter"/>
          <w:b w:val="0"/>
          <w:color w:val="0D1B2A"/>
          <w:sz w:val="21"/>
        </w:rPr>
        <w:t>Changes to scope, deliverables, or fee take effect only through a written change confirmed by both parties before the changed work begins. Each change states the scope items added or removed, the fee effect in Canadian dollars (CAD), and the effect on the schedule of deliverables in working days (wd).</w:t>
      </w:r>
    </w:p>
    <w:p/>
    <w:p>
      <w:r>
        <w:rPr>
          <w:rFonts w:ascii="Inter" w:hAnsi="Inter"/>
          <w:b w:val="0"/>
          <w:color w:val="0F2540"/>
          <w:sz w:val="18"/>
        </w:rPr>
        <w:t>Critical Path Partners · CPP-SOW / CPP-2025-DEMO · prepared September 01, 2026</w:t>
      </w:r>
    </w:p>
    <w:sectPr w:rsidR="00FC693F" w:rsidRPr="0006063C" w:rsidSect="00034616">
      <w:pgSz w:w="12240" w:h="15840"/>
      <w:pgMar w:top="1296"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8" w:lineRule="auto"/>
    </w:pPr>
    <w:rPr>
      <w:rFonts w:ascii="Inter" w:hAnsi="Inter"/>
      <w:color w:val="0D1B2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80"/>
      <w:outlineLvl w:val="0"/>
    </w:pPr>
    <w:rPr>
      <w:rFonts w:asciiTheme="majorHAnsi" w:eastAsiaTheme="majorEastAsia" w:hAnsiTheme="majorHAnsi" w:cstheme="majorBidi" w:ascii="Inter" w:hAnsi="Inter"/>
      <w:b/>
      <w:bCs/>
      <w:color w:val="0D1B2A"/>
      <w:sz w:val="44"/>
      <w:szCs w:val="28"/>
    </w:rPr>
  </w:style>
  <w:style w:type="paragraph" w:styleId="Heading2">
    <w:name w:val="heading 2"/>
    <w:basedOn w:val="Normal"/>
    <w:next w:val="Normal"/>
    <w:link w:val="Heading2Char"/>
    <w:uiPriority w:val="9"/>
    <w:unhideWhenUsed/>
    <w:qFormat/>
    <w:rsid w:val="00FC693F"/>
    <w:pPr>
      <w:keepNext/>
      <w:keepLines/>
      <w:spacing w:before="280" w:after="120"/>
      <w:outlineLvl w:val="1"/>
    </w:pPr>
    <w:rPr>
      <w:rFonts w:asciiTheme="majorHAnsi" w:eastAsiaTheme="majorEastAsia" w:hAnsiTheme="majorHAnsi" w:cstheme="majorBidi" w:ascii="Inter" w:hAnsi="Inter"/>
      <w:b/>
      <w:bCs/>
      <w:color w:val="0D1B2A"/>
      <w:sz w:val="28"/>
      <w:szCs w:val="26"/>
    </w:rPr>
  </w:style>
  <w:style w:type="paragraph" w:styleId="Heading3">
    <w:name w:val="heading 3"/>
    <w:basedOn w:val="Normal"/>
    <w:next w:val="Normal"/>
    <w:link w:val="Heading3Char"/>
    <w:uiPriority w:val="9"/>
    <w:unhideWhenUsed/>
    <w:qFormat/>
    <w:rsid w:val="00FC693F"/>
    <w:pPr>
      <w:keepNext/>
      <w:keepLines/>
      <w:spacing w:before="200" w:after="80"/>
      <w:outlineLvl w:val="2"/>
    </w:pPr>
    <w:rPr>
      <w:rFonts w:asciiTheme="majorHAnsi" w:eastAsiaTheme="majorEastAsia" w:hAnsiTheme="majorHAnsi" w:cstheme="majorBidi" w:ascii="Inter" w:hAnsi="Inter"/>
      <w:b/>
      <w:bCs/>
      <w:color w:val="0F2540"/>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Inter" w:hAnsi="Inter"/>
      <w:b/>
      <w:color w:val="0D1B2A"/>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CPPMono">
    <w:name w:val="CPP Mono"/>
    <w:rPr>
      <w:rFonts w:ascii="Consolas" w:hAnsi="Consolas" w:cs="Consolas"/>
      <w:color w:val="0D1B2A"/>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